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9B4E6E" w:rsidRPr="009B4E6E" w:rsidTr="009B4E6E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E6E" w:rsidRPr="009B4E6E" w:rsidRDefault="009B4E6E" w:rsidP="009B4E6E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bookmarkStart w:id="0" w:name="_GoBack"/>
            <w:r w:rsidRPr="009B4E6E">
              <w:rPr>
                <w:b/>
                <w:bCs/>
                <w:caps/>
                <w:color w:val="FFFFFF" w:themeColor="background1"/>
                <w:szCs w:val="22"/>
              </w:rPr>
              <w:t>POSTUPAK RAZVOJA I pokr</w:t>
            </w:r>
            <w:smartTag w:uri="urn:schemas-microsoft-com:office:smarttags" w:element="stockticker">
              <w:r w:rsidRPr="009B4E6E">
                <w:rPr>
                  <w:b/>
                  <w:bCs/>
                  <w:caps/>
                  <w:color w:val="FFFFFF" w:themeColor="background1"/>
                  <w:szCs w:val="22"/>
                </w:rPr>
                <w:t>eta</w:t>
              </w:r>
            </w:smartTag>
            <w:r w:rsidRPr="009B4E6E">
              <w:rPr>
                <w:b/>
                <w:bCs/>
                <w:caps/>
                <w:color w:val="FFFFFF" w:themeColor="background1"/>
                <w:szCs w:val="22"/>
              </w:rPr>
              <w:t>nja novog studijskog programa</w:t>
            </w:r>
            <w:bookmarkEnd w:id="0"/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4E6E" w:rsidRPr="009B4E6E" w:rsidRDefault="009B4E6E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9B4E6E">
                <w:rPr>
                  <w:rStyle w:val="Hyperlink"/>
                  <w:rFonts w:ascii="Times New Roman" w:hAnsi="Times New Roman"/>
                  <w:spacing w:val="10"/>
                </w:rPr>
                <w:t>natra</w:t>
              </w:r>
              <w:r w:rsidRPr="009B4E6E">
                <w:rPr>
                  <w:rStyle w:val="Hyperlink"/>
                  <w:rFonts w:ascii="Times New Roman" w:hAnsi="Times New Roman"/>
                  <w:spacing w:val="10"/>
                </w:rPr>
                <w:t>g</w:t>
              </w:r>
              <w:r w:rsidRPr="009B4E6E">
                <w:rPr>
                  <w:rStyle w:val="Hyperlink"/>
                  <w:rFonts w:ascii="Times New Roman" w:hAnsi="Times New Roman"/>
                  <w:spacing w:val="10"/>
                </w:rPr>
                <w:t xml:space="preserve"> u Priručnik</w:t>
              </w:r>
            </w:hyperlink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B4E6E" w:rsidRPr="009B4E6E" w:rsidRDefault="009B4E6E" w:rsidP="00B071DB">
            <w:pPr>
              <w:pStyle w:val="BodyText"/>
              <w:rPr>
                <w:caps/>
                <w:sz w:val="22"/>
                <w:szCs w:val="22"/>
              </w:rPr>
            </w:pPr>
            <w:r w:rsidRPr="009B4E6E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9B4E6E" w:rsidRPr="009B4E6E" w:rsidRDefault="009B4E6E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postupka razvoja i pokretanja novih studijskih programa je ostvarivanje misije sveučilišta kroz širenje ponude studijskih programa iz različitih područja znanosti, a sve u svrhu odgovaranja na potrebe tržišta rada stvaranjem završenih studenata s kompetencijama koje će kontinuirano doprinositi razvoju RH.</w:t>
            </w:r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E6E" w:rsidRPr="009B4E6E" w:rsidRDefault="009B4E6E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B4E6E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9B4E6E" w:rsidRPr="009B4E6E" w:rsidRDefault="009B4E6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Razvoj novih programa pokreće predlagač i temelji se na podacima iz različitih izvora (izvješća o postupcima opisanim u Priručniku, a vezanima za praćenje studijskih programa, preporuke/izvješća nacionalnih i međunarodnih institucija, organizacija i udruženja i sl.). U izradu elaborata novih studijskih programa trebalo bi uključiti sve zainteresirane strane.</w:t>
            </w:r>
          </w:p>
          <w:p w:rsidR="009B4E6E" w:rsidRPr="009B4E6E" w:rsidRDefault="009B4E6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t xml:space="preserve">Postupak se regulira člancima 3. – 11. </w:t>
            </w:r>
            <w:hyperlink r:id="rId6" w:tooltip="Initiates file download" w:history="1"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Pravilnika o v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jednovanju obrazovnih programa Sveučilišta</w:t>
              </w:r>
            </w:hyperlink>
            <w:r w:rsidRPr="009B4E6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B4E6E" w:rsidRPr="009B4E6E" w:rsidRDefault="009B4E6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Inicijalno odobrenje za pokretanje programa daje rektor kojem se dostavlja prijedlog studijskog programa na obrascu </w:t>
            </w:r>
            <w:hyperlink r:id="rId7" w:history="1"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O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P1 - Prijedlog studijskog programa</w:t>
              </w:r>
            </w:hyperlink>
            <w:r w:rsidRPr="009B4E6E">
              <w:rPr>
                <w:rFonts w:ascii="Times New Roman" w:hAnsi="Times New Roman"/>
                <w:sz w:val="22"/>
                <w:szCs w:val="22"/>
              </w:rPr>
              <w:t>.</w:t>
            </w: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Elaborat se izrađuje na obrascu elaborata koji je privitak Pravilnika o vrednovanju obrazovnih programa (</w:t>
            </w:r>
            <w:hyperlink r:id="rId8" w:history="1"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VOP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2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– Elaborat studijskog programa</w:t>
              </w:r>
            </w:hyperlink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). Recenzija studijskog programa vrši se na obrascu </w:t>
            </w:r>
            <w:hyperlink r:id="rId9" w:tooltip="Initiates file download" w:history="1"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VOP3.1. - Rec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nzija studijskog programa</w:t>
              </w:r>
            </w:hyperlink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ili </w:t>
            </w:r>
            <w:hyperlink r:id="rId10" w:tooltip="Initiates file download" w:history="1"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VOP3.2. - </w:t>
              </w:r>
              <w:proofErr w:type="spellStart"/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Study</w:t>
              </w:r>
              <w:proofErr w:type="spellEnd"/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progra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m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me</w:t>
              </w:r>
              <w:proofErr w:type="spellEnd"/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review</w:t>
              </w:r>
              <w:proofErr w:type="spellEnd"/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 </w:t>
              </w:r>
            </w:hyperlink>
            <w:r w:rsidRPr="009B4E6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9B4E6E" w:rsidRPr="009B4E6E" w:rsidRDefault="009B4E6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</w:p>
          <w:p w:rsidR="009B4E6E" w:rsidRPr="009B4E6E" w:rsidRDefault="009B4E6E" w:rsidP="00B071DB">
            <w:pPr>
              <w:pStyle w:val="Style89"/>
              <w:widowControl/>
              <w:tabs>
                <w:tab w:val="left" w:pos="3283"/>
              </w:tabs>
              <w:spacing w:line="360" w:lineRule="auto"/>
              <w:ind w:firstLine="0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Postupci koji slijede nakon što Senat donese odluku o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osnivanju</w:t>
            </w: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studijskog programa: </w:t>
            </w:r>
          </w:p>
          <w:p w:rsidR="009B4E6E" w:rsidRPr="009B4E6E" w:rsidRDefault="009B4E6E" w:rsidP="009B4E6E">
            <w:pPr>
              <w:pStyle w:val="Style89"/>
              <w:widowControl/>
              <w:numPr>
                <w:ilvl w:val="0"/>
                <w:numId w:val="2"/>
              </w:numPr>
              <w:tabs>
                <w:tab w:val="left" w:pos="3283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Dokumentacija </w:t>
            </w: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i</w:t>
            </w:r>
            <w:r w:rsidRPr="009B4E6E">
              <w:rPr>
                <w:rStyle w:val="FontStyle111"/>
                <w:rFonts w:ascii="Times New Roman" w:hAnsi="Times New Roman" w:cs="Times New Roman"/>
              </w:rPr>
              <w:t xml:space="preserve"> </w:t>
            </w:r>
            <w:r w:rsidRPr="009B4E6E">
              <w:rPr>
                <w:rStyle w:val="FontStyle111"/>
                <w:rFonts w:ascii="Times New Roman" w:hAnsi="Times New Roman" w:cs="Times New Roman"/>
                <w:sz w:val="22"/>
              </w:rPr>
              <w:t>zahtjev za izdavanje dopusnice</w:t>
            </w:r>
            <w:r w:rsidRPr="009B4E6E">
              <w:rPr>
                <w:rStyle w:val="FontStyle111"/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dostavlja </w:t>
            </w: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se AZVO kao početak p</w:t>
            </w:r>
            <w:r w:rsidRPr="009B4E6E">
              <w:rPr>
                <w:rFonts w:ascii="Times New Roman" w:hAnsi="Times New Roman"/>
                <w:sz w:val="22"/>
                <w:szCs w:val="22"/>
              </w:rPr>
              <w:t xml:space="preserve">ostupka inicijalne akreditacije studija </w:t>
            </w:r>
          </w:p>
          <w:p w:rsidR="009B4E6E" w:rsidRPr="009B4E6E" w:rsidRDefault="009B4E6E" w:rsidP="009B4E6E">
            <w:pPr>
              <w:pStyle w:val="Style89"/>
              <w:widowControl/>
              <w:numPr>
                <w:ilvl w:val="0"/>
                <w:numId w:val="1"/>
              </w:numPr>
              <w:tabs>
                <w:tab w:val="left" w:pos="3283"/>
              </w:tabs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Fonts w:ascii="Times New Roman" w:hAnsi="Times New Roman"/>
                <w:sz w:val="22"/>
                <w:szCs w:val="22"/>
              </w:rPr>
              <w:t xml:space="preserve">Transparentnost postupka pokretanja studijskog programa osigurava objavljivanjem obrasca </w:t>
            </w:r>
            <w:hyperlink r:id="rId11" w:history="1"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VOP8</w:t>
              </w:r>
              <w:r w:rsidRPr="009B4E6E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 xml:space="preserve"> -</w:t>
              </w:r>
              <w:r w:rsidRPr="009B4E6E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Pr="009B4E6E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Kronologija osnivanj</w:t>
              </w:r>
              <w:r w:rsidRPr="009B4E6E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a</w:t>
              </w:r>
              <w:r w:rsidRPr="009B4E6E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 xml:space="preserve"> studijskih programa</w:t>
              </w:r>
            </w:hyperlink>
            <w:r w:rsidRPr="009B4E6E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 mrežnim stranicama SOUK-a</w:t>
            </w:r>
            <w:r w:rsidRPr="009B4E6E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E6E" w:rsidRPr="009B4E6E" w:rsidRDefault="009B4E6E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b w:val="0"/>
                <w:caps/>
                <w:sz w:val="22"/>
                <w:szCs w:val="22"/>
              </w:rPr>
            </w:pPr>
            <w:r w:rsidRPr="009B4E6E">
              <w:rPr>
                <w:rFonts w:ascii="Times New Roman" w:hAnsi="Times New Roman"/>
                <w:b/>
                <w:caps/>
                <w:sz w:val="22"/>
                <w:szCs w:val="22"/>
              </w:rPr>
              <w:t>Dinamika provedbe</w:t>
            </w:r>
            <w:r w:rsidRPr="009B4E6E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 xml:space="preserve"> postupka</w:t>
            </w:r>
          </w:p>
        </w:tc>
        <w:tc>
          <w:tcPr>
            <w:tcW w:w="3754" w:type="pct"/>
          </w:tcPr>
          <w:p w:rsidR="009B4E6E" w:rsidRPr="009B4E6E" w:rsidRDefault="009B4E6E" w:rsidP="00B071DB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</w:rPr>
            </w:pPr>
            <w:r w:rsidRPr="009B4E6E">
              <w:rPr>
                <w:rFonts w:ascii="Times New Roman" w:hAnsi="Times New Roman"/>
              </w:rPr>
              <w:t>_</w:t>
            </w:r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E6E" w:rsidRPr="009B4E6E" w:rsidRDefault="009B4E6E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9B4E6E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9B4E6E" w:rsidRPr="009B4E6E" w:rsidRDefault="009B4E6E" w:rsidP="00B071DB">
            <w:pPr>
              <w:pStyle w:val="Style90"/>
              <w:widowControl/>
              <w:spacing w:line="240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Predlagač, Predsjednik Glavnog odbora za kvalitetu, Senat, rektor</w:t>
            </w:r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E6E" w:rsidRPr="009B4E6E" w:rsidRDefault="009B4E6E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B4E6E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9B4E6E" w:rsidRPr="009B4E6E" w:rsidRDefault="009B4E6E" w:rsidP="00B071DB">
            <w:pPr>
              <w:pStyle w:val="Style38"/>
              <w:widowControl/>
              <w:tabs>
                <w:tab w:val="left" w:pos="826"/>
              </w:tabs>
              <w:spacing w:line="240" w:lineRule="auto"/>
              <w:ind w:firstLine="0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dionicima Sveučilišta</w:t>
            </w:r>
          </w:p>
        </w:tc>
      </w:tr>
    </w:tbl>
    <w:p w:rsidR="00F8696E" w:rsidRPr="009B4E6E" w:rsidRDefault="00F8696E">
      <w:pPr>
        <w:rPr>
          <w:sz w:val="22"/>
          <w:szCs w:val="22"/>
        </w:rPr>
      </w:pPr>
    </w:p>
    <w:sectPr w:rsidR="00F8696E" w:rsidRPr="009B4E6E" w:rsidSect="009B4E6E">
      <w:pgSz w:w="12240" w:h="15840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E5F8E"/>
    <w:multiLevelType w:val="hybridMultilevel"/>
    <w:tmpl w:val="0FF8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22455"/>
    <w:multiLevelType w:val="hybridMultilevel"/>
    <w:tmpl w:val="08F87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6E"/>
    <w:rsid w:val="009B4E6E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80949A7"/>
  <w15:chartTrackingRefBased/>
  <w15:docId w15:val="{633DF5C1-19D8-48EF-A7E8-6F0ABF40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E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9B4E6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4E6E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9B4E6E"/>
    <w:rPr>
      <w:color w:val="0000FF"/>
      <w:u w:val="single"/>
    </w:rPr>
  </w:style>
  <w:style w:type="paragraph" w:styleId="BodyText">
    <w:name w:val="Body Text"/>
    <w:basedOn w:val="Normal"/>
    <w:link w:val="BodyTextChar"/>
    <w:rsid w:val="009B4E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4E6E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9B4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9B4E6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9B4E6E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9B4E6E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9B4E6E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9B4E6E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9B4E6E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9B4E6E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9B4E6E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9B4E6E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B4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gaber\Desktop\PRIRU&#268;NIK%20KVALITETE%20UNIPU\II.%20STUDIJSK%20PROGRAMI\VOP2%20-%20Elaborat%20studijskog%20programa%20(1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sagaber\Desktop\PRIRU&#268;NIK%20KVALITETE%20UNIPU\II.%20STUDIJSK%20PROGRAMI\VOP1-Prijedlog-SP%20(2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pu.hr/fileadmin/datoteke/kvaliteta/Pravilnik_o_vrjednovanju_obrazovnih_programa_Sveucilista.pdf" TargetMode="External"/><Relationship Id="rId11" Type="http://schemas.openxmlformats.org/officeDocument/2006/relationships/hyperlink" Target="chrome-extension://efaidnbmnnnibpcajpcglclefindmkaj/https:/www.unipu.hr/_download/repository/KRONOLOGIJA-NOVI_PROGRAMI-11072022.pdf" TargetMode="External"/><Relationship Id="rId5" Type="http://schemas.openxmlformats.org/officeDocument/2006/relationships/hyperlink" Target="file:///C:\Users\sagaber\Desktop\PRIRU&#268;NIK%20KVALITETE%20UNIPU\Priru&#269;nik%20kvalitete%20UNIPU.docx" TargetMode="External"/><Relationship Id="rId10" Type="http://schemas.openxmlformats.org/officeDocument/2006/relationships/hyperlink" Target="http://unipu.hr/fileadmin/datoteke/kvaliteta/VOP3.2-Review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pu.hr/fileadmin/datoteke/kvaliteta/VOP3.1-Recenzij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2023-02-18T12:52:00Z</dcterms:created>
  <dcterms:modified xsi:type="dcterms:W3CDTF">2023-02-18T13:08:00Z</dcterms:modified>
</cp:coreProperties>
</file>